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widowControl w:val="0"/>
        <w:spacing w:before="0" w:after="0"/>
        <w:ind w:firstLine="567"/>
        <w:jc w:val="center"/>
      </w:pPr>
      <w:r>
        <w:rPr>
          <w:rFonts w:ascii="Times New Roman" w:eastAsia="Times New Roman" w:hAnsi="Times New Roman" w:cs="Times New Roman"/>
          <w:b/>
          <w:bCs/>
        </w:rPr>
        <w:t>РЕЗОЛЮТИВНАЯ ЧАСТЬ РЕШЕНИЯ</w:t>
      </w:r>
    </w:p>
    <w:p>
      <w:pPr>
        <w:widowControl w:val="0"/>
        <w:spacing w:before="0" w:after="0"/>
        <w:ind w:firstLine="567"/>
        <w:jc w:val="center"/>
      </w:pPr>
      <w:r>
        <w:rPr>
          <w:rFonts w:ascii="Times New Roman" w:eastAsia="Times New Roman" w:hAnsi="Times New Roman" w:cs="Times New Roman"/>
          <w:b/>
          <w:bCs/>
        </w:rPr>
        <w:t>ИМЕНЕМ РОССИЙСКОЙ ФЕДЕРАЦИИ</w:t>
      </w:r>
    </w:p>
    <w:p>
      <w:pPr>
        <w:widowControl w:val="0"/>
        <w:spacing w:before="0" w:after="0"/>
        <w:ind w:firstLine="567"/>
        <w:jc w:val="center"/>
      </w:pPr>
    </w:p>
    <w:p>
      <w:pPr>
        <w:widowControl w:val="0"/>
        <w:spacing w:before="0" w:after="0"/>
        <w:jc w:val="both"/>
      </w:pPr>
      <w:r>
        <w:rPr>
          <w:rStyle w:val="cat-Addressgrp-0rplc-0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</w:t>
      </w:r>
      <w:r>
        <w:rPr>
          <w:rStyle w:val="cat-Dategrp-2rplc-1"/>
          <w:rFonts w:ascii="Times New Roman" w:eastAsia="Times New Roman" w:hAnsi="Times New Roman" w:cs="Times New Roman"/>
        </w:rPr>
        <w:t>дата</w:t>
      </w:r>
    </w:p>
    <w:p>
      <w:pPr>
        <w:widowControl w:val="0"/>
        <w:spacing w:before="0" w:after="0"/>
        <w:ind w:firstLine="567"/>
        <w:jc w:val="both"/>
      </w:pP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Мировой судья судебного участка №2 Ханты-Мансийского судебного </w:t>
      </w:r>
      <w:r>
        <w:rPr>
          <w:rStyle w:val="cat-Addressgrp-1rplc-2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 автономного округа-Югры </w:t>
      </w:r>
      <w:r>
        <w:rPr>
          <w:rStyle w:val="cat-FIOgrp-11rplc-3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>, исполняя обязанности мирового судьи судебного участка №5 Ханты-Мансийского судебного района,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рассмотрев в порядке упрощенного производства гражданское дело №2-</w:t>
      </w:r>
      <w:r>
        <w:rPr>
          <w:rFonts w:ascii="Times New Roman" w:eastAsia="Times New Roman" w:hAnsi="Times New Roman" w:cs="Times New Roman"/>
        </w:rPr>
        <w:t>3123</w:t>
      </w:r>
      <w:r>
        <w:rPr>
          <w:rFonts w:ascii="Times New Roman" w:eastAsia="Times New Roman" w:hAnsi="Times New Roman" w:cs="Times New Roman"/>
        </w:rPr>
        <w:t xml:space="preserve">-2805/2026 по иску </w:t>
      </w:r>
      <w:r>
        <w:rPr>
          <w:rFonts w:ascii="Times New Roman" w:eastAsia="Times New Roman" w:hAnsi="Times New Roman" w:cs="Times New Roman"/>
        </w:rPr>
        <w:t xml:space="preserve">ООО Тюменское экологическое объединение к </w:t>
      </w:r>
      <w:r>
        <w:rPr>
          <w:rStyle w:val="cat-UserDefinedgrp-21rplc-5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о взыскании задолженности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 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Руководствуясь ст.ст.12, 194-197, 232.4 Гражданского процессуального кодекса Российской Федерации, мировой судья</w:t>
      </w:r>
    </w:p>
    <w:p>
      <w:pPr>
        <w:widowControl w:val="0"/>
        <w:spacing w:before="120" w:after="120"/>
        <w:ind w:firstLine="567"/>
        <w:jc w:val="center"/>
      </w:pPr>
      <w:r>
        <w:rPr>
          <w:rFonts w:ascii="Times New Roman" w:eastAsia="Times New Roman" w:hAnsi="Times New Roman" w:cs="Times New Roman"/>
          <w:b/>
          <w:bCs/>
        </w:rPr>
        <w:t>РЕШИЛ</w:t>
      </w:r>
      <w:r>
        <w:rPr>
          <w:rFonts w:ascii="Times New Roman" w:eastAsia="Times New Roman" w:hAnsi="Times New Roman" w:cs="Times New Roman"/>
        </w:rPr>
        <w:t>: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Исковые требования </w:t>
      </w:r>
      <w:r>
        <w:rPr>
          <w:rFonts w:ascii="Times New Roman" w:eastAsia="Times New Roman" w:hAnsi="Times New Roman" w:cs="Times New Roman"/>
        </w:rPr>
        <w:t xml:space="preserve">ООО Тюменское экологическое объединение </w:t>
      </w:r>
      <w:r>
        <w:rPr>
          <w:rFonts w:ascii="Times New Roman" w:eastAsia="Times New Roman" w:hAnsi="Times New Roman" w:cs="Times New Roman"/>
        </w:rPr>
        <w:t xml:space="preserve">к </w:t>
      </w:r>
      <w:r>
        <w:rPr>
          <w:rStyle w:val="cat-UserDefinedgrp-21rplc-6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о взыскании задолженности по договору</w:t>
      </w:r>
      <w:r>
        <w:rPr>
          <w:rFonts w:ascii="Times New Roman" w:eastAsia="Times New Roman" w:hAnsi="Times New Roman" w:cs="Times New Roman"/>
        </w:rPr>
        <w:t xml:space="preserve"> удовлетворить.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Взыскать с </w:t>
      </w:r>
      <w:r>
        <w:rPr>
          <w:rStyle w:val="cat-UserDefinedgrp-22rplc-8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(</w:t>
      </w:r>
      <w:r>
        <w:rPr>
          <w:rStyle w:val="cat-PassportDatagrp-18rplc-10"/>
          <w:rFonts w:ascii="Times New Roman" w:eastAsia="Times New Roman" w:hAnsi="Times New Roman" w:cs="Times New Roman"/>
        </w:rPr>
        <w:t>паспортные данные</w:t>
      </w:r>
      <w:r>
        <w:rPr>
          <w:rStyle w:val="cat-ExternalSystemDefinedgrp-19rplc-11"/>
          <w:rFonts w:ascii="Times New Roman" w:eastAsia="Times New Roman" w:hAnsi="Times New Roman" w:cs="Times New Roman"/>
        </w:rPr>
        <w:t>...</w:t>
      </w:r>
      <w:r>
        <w:rPr>
          <w:rStyle w:val="cat-ExternalSystemDefinedgrp-20rplc-12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) </w:t>
      </w:r>
      <w:r>
        <w:rPr>
          <w:rFonts w:ascii="Times New Roman" w:eastAsia="Times New Roman" w:hAnsi="Times New Roman" w:cs="Times New Roman"/>
        </w:rPr>
        <w:t xml:space="preserve">в пользу </w:t>
      </w:r>
      <w:r>
        <w:rPr>
          <w:rFonts w:ascii="Times New Roman" w:eastAsia="Times New Roman" w:hAnsi="Times New Roman" w:cs="Times New Roman"/>
        </w:rPr>
        <w:t xml:space="preserve">ООО Тюменское экологическое объединение </w:t>
      </w:r>
      <w:r>
        <w:rPr>
          <w:rFonts w:ascii="Times New Roman" w:eastAsia="Times New Roman" w:hAnsi="Times New Roman" w:cs="Times New Roman"/>
        </w:rPr>
        <w:t xml:space="preserve">(ИНН </w:t>
      </w:r>
      <w:r>
        <w:rPr>
          <w:rStyle w:val="cat-UserDefinedgrp-23rplc-13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) </w:t>
      </w:r>
      <w:r>
        <w:rPr>
          <w:rStyle w:val="cat-Sumgrp-15rplc-14"/>
          <w:rFonts w:ascii="Times New Roman" w:eastAsia="Times New Roman" w:hAnsi="Times New Roman" w:cs="Times New Roman"/>
        </w:rPr>
        <w:t>сумма</w:t>
      </w:r>
      <w:r>
        <w:rPr>
          <w:rFonts w:ascii="Times New Roman" w:eastAsia="Times New Roman" w:hAnsi="Times New Roman" w:cs="Times New Roman"/>
        </w:rPr>
        <w:t xml:space="preserve"> – </w:t>
      </w:r>
      <w:r>
        <w:rPr>
          <w:rFonts w:ascii="Times New Roman" w:eastAsia="Times New Roman" w:hAnsi="Times New Roman" w:cs="Times New Roman"/>
        </w:rPr>
        <w:t xml:space="preserve">задолженность за период с </w:t>
      </w:r>
      <w:r>
        <w:rPr>
          <w:rStyle w:val="cat-Dategrp-3rplc-15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 xml:space="preserve"> по </w:t>
      </w:r>
      <w:r>
        <w:rPr>
          <w:rStyle w:val="cat-Dategrp-4rplc-16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Style w:val="cat-Sumgrp-16rplc-17"/>
          <w:rFonts w:ascii="Times New Roman" w:eastAsia="Times New Roman" w:hAnsi="Times New Roman" w:cs="Times New Roman"/>
        </w:rPr>
        <w:t>сумма</w:t>
      </w:r>
      <w:r>
        <w:rPr>
          <w:rFonts w:ascii="Times New Roman" w:eastAsia="Times New Roman" w:hAnsi="Times New Roman" w:cs="Times New Roman"/>
        </w:rPr>
        <w:t xml:space="preserve"> – </w:t>
      </w:r>
      <w:r>
        <w:rPr>
          <w:rFonts w:ascii="Times New Roman" w:eastAsia="Times New Roman" w:hAnsi="Times New Roman" w:cs="Times New Roman"/>
        </w:rPr>
        <w:t xml:space="preserve">пени за период с </w:t>
      </w:r>
      <w:r>
        <w:rPr>
          <w:rStyle w:val="cat-Dategrp-5rplc-18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 xml:space="preserve"> по </w:t>
      </w:r>
      <w:r>
        <w:rPr>
          <w:rStyle w:val="cat-Dategrp-6rplc-19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 xml:space="preserve">, с </w:t>
      </w:r>
      <w:r>
        <w:rPr>
          <w:rStyle w:val="cat-Dategrp-7rplc-20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 xml:space="preserve"> по </w:t>
      </w:r>
      <w:r>
        <w:rPr>
          <w:rStyle w:val="cat-Dategrp-8rplc-21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 xml:space="preserve">, с </w:t>
      </w:r>
      <w:r>
        <w:rPr>
          <w:rStyle w:val="cat-Dategrp-9rplc-22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 xml:space="preserve"> по </w:t>
      </w:r>
      <w:r>
        <w:rPr>
          <w:rStyle w:val="cat-Dategrp-10rplc-23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Style w:val="cat-Sumgrp-17rplc-24"/>
          <w:rFonts w:ascii="Times New Roman" w:eastAsia="Times New Roman" w:hAnsi="Times New Roman" w:cs="Times New Roman"/>
        </w:rPr>
        <w:t>сумма</w:t>
      </w:r>
      <w:r>
        <w:rPr>
          <w:rFonts w:ascii="Times New Roman" w:eastAsia="Times New Roman" w:hAnsi="Times New Roman" w:cs="Times New Roman"/>
        </w:rPr>
        <w:t xml:space="preserve"> – в счет уплаты госпошлины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Решение по результатам рассмотрения дела в порядке упрощенного производства может быть обжаловано в Ханты-Мансийский районный суд Ханты-Мансийского автономного округа-Югры </w:t>
      </w:r>
      <w:r>
        <w:rPr>
          <w:rFonts w:ascii="Times New Roman" w:eastAsia="Times New Roman" w:hAnsi="Times New Roman" w:cs="Times New Roman"/>
        </w:rPr>
        <w:t>через мирового судью</w:t>
      </w:r>
      <w:r>
        <w:rPr>
          <w:rFonts w:ascii="Times New Roman" w:eastAsia="Times New Roman" w:hAnsi="Times New Roman" w:cs="Times New Roman"/>
        </w:rPr>
        <w:t xml:space="preserve"> судебного участка №2 Ханты-Мансийского судебного </w:t>
      </w:r>
      <w:r>
        <w:rPr>
          <w:rStyle w:val="cat-Addressgrp-1rplc-25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 автономного округа-Югры в течение 15 дней со дня его принятия, а в случае составления мотивированного решения суда по заявлению лиц, участвующих в деле, их представителей - со дня принятия решения в окончательной форме.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Разъяснить сторонам положения ч.ч.2,3,4,5 ст.232.4 Гражданского процессуального кодекса Российской Федерации по заявлению лиц, участвующих в деле, их представителей или в случае подачи апелляционной жалобы, представления по делу, рассматриваемому в порядке упрощенного производства, суд составляет мотивированное решение.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Заявление о составлении мотивированного решения суда может быть подано в течение пяти дней со дня подписания резолютивной части решения суда по делу, рассмотренному в порядке упрощенного производства.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Мотивированное решение суда изготавливается в течение десяти дней со дня поступления от лица, участвующего в деле, его представителя соответствующего заявления или со дня подачи апелляционной жалобы.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Решение суда по делу, рассмотренному в порядке упрощенного производства, вступает в законную силу по истечении пятнадцати дней со дня его принятия, если не поданы апелляционные жалоба, представление. </w:t>
      </w:r>
    </w:p>
    <w:p>
      <w:pPr>
        <w:widowControl w:val="0"/>
        <w:spacing w:before="0" w:after="0"/>
        <w:jc w:val="both"/>
      </w:pPr>
    </w:p>
    <w:p>
      <w:pPr>
        <w:widowControl w:val="0"/>
        <w:spacing w:before="0" w:after="0"/>
        <w:jc w:val="both"/>
      </w:pPr>
    </w:p>
    <w:p>
      <w:pPr>
        <w:widowControl w:val="0"/>
        <w:spacing w:before="0" w:after="0"/>
        <w:jc w:val="both"/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 </w:t>
      </w:r>
      <w:r>
        <w:rPr>
          <w:rStyle w:val="cat-FIOgrp-14rplc-26"/>
          <w:rFonts w:ascii="Times New Roman" w:eastAsia="Times New Roman" w:hAnsi="Times New Roman" w:cs="Times New Roman"/>
        </w:rPr>
        <w:t>фио</w:t>
      </w:r>
    </w:p>
    <w:p>
      <w:pPr>
        <w:widowControl w:val="0"/>
        <w:spacing w:before="0" w:after="0"/>
        <w:jc w:val="both"/>
      </w:pPr>
    </w:p>
    <w:p>
      <w:pPr>
        <w:widowControl w:val="0"/>
        <w:spacing w:before="0" w:after="0"/>
        <w:jc w:val="both"/>
      </w:pPr>
      <w:r>
        <w:rPr>
          <w:rFonts w:ascii="Times New Roman" w:eastAsia="Times New Roman" w:hAnsi="Times New Roman" w:cs="Times New Roman"/>
        </w:rPr>
        <w:t>Копия верна:</w:t>
      </w:r>
    </w:p>
    <w:p>
      <w:pPr>
        <w:widowControl w:val="0"/>
        <w:spacing w:before="0" w:after="0"/>
        <w:jc w:val="both"/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 </w:t>
      </w:r>
      <w:r>
        <w:rPr>
          <w:rStyle w:val="cat-FIOgrp-14rplc-27"/>
          <w:rFonts w:ascii="Times New Roman" w:eastAsia="Times New Roman" w:hAnsi="Times New Roman" w:cs="Times New Roman"/>
        </w:rPr>
        <w:t>фио</w:t>
      </w:r>
    </w:p>
    <w:p>
      <w:pPr>
        <w:spacing w:before="0" w:after="160" w:line="252" w:lineRule="auto"/>
        <w:rPr>
          <w:sz w:val="22"/>
          <w:szCs w:val="22"/>
        </w:rPr>
      </w:pPr>
    </w:p>
    <w:p>
      <w:pPr>
        <w:spacing w:before="0" w:after="160" w:line="252" w:lineRule="auto"/>
        <w:rPr>
          <w:sz w:val="22"/>
          <w:szCs w:val="22"/>
        </w:rPr>
      </w:pPr>
    </w:p>
    <w:p>
      <w:pPr>
        <w:spacing w:before="0" w:after="160" w:line="252" w:lineRule="auto"/>
        <w:rPr>
          <w:sz w:val="22"/>
          <w:szCs w:val="22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Addressgrp-0rplc-0">
    <w:name w:val="cat-Address grp-0 rplc-0"/>
    <w:basedOn w:val="DefaultParagraphFont"/>
  </w:style>
  <w:style w:type="character" w:customStyle="1" w:styleId="cat-Dategrp-2rplc-1">
    <w:name w:val="cat-Date grp-2 rplc-1"/>
    <w:basedOn w:val="DefaultParagraphFont"/>
  </w:style>
  <w:style w:type="character" w:customStyle="1" w:styleId="cat-Addressgrp-1rplc-2">
    <w:name w:val="cat-Address grp-1 rplc-2"/>
    <w:basedOn w:val="DefaultParagraphFont"/>
  </w:style>
  <w:style w:type="character" w:customStyle="1" w:styleId="cat-FIOgrp-11rplc-3">
    <w:name w:val="cat-FIO grp-11 rplc-3"/>
    <w:basedOn w:val="DefaultParagraphFont"/>
  </w:style>
  <w:style w:type="character" w:customStyle="1" w:styleId="cat-UserDefinedgrp-21rplc-5">
    <w:name w:val="cat-UserDefined grp-21 rplc-5"/>
    <w:basedOn w:val="DefaultParagraphFont"/>
  </w:style>
  <w:style w:type="character" w:customStyle="1" w:styleId="cat-UserDefinedgrp-21rplc-6">
    <w:name w:val="cat-UserDefined grp-21 rplc-6"/>
    <w:basedOn w:val="DefaultParagraphFont"/>
  </w:style>
  <w:style w:type="character" w:customStyle="1" w:styleId="cat-UserDefinedgrp-22rplc-8">
    <w:name w:val="cat-UserDefined grp-22 rplc-8"/>
    <w:basedOn w:val="DefaultParagraphFont"/>
  </w:style>
  <w:style w:type="character" w:customStyle="1" w:styleId="cat-PassportDatagrp-18rplc-10">
    <w:name w:val="cat-PassportData grp-18 rplc-10"/>
    <w:basedOn w:val="DefaultParagraphFont"/>
  </w:style>
  <w:style w:type="character" w:customStyle="1" w:styleId="cat-ExternalSystemDefinedgrp-19rplc-11">
    <w:name w:val="cat-ExternalSystemDefined grp-19 rplc-11"/>
    <w:basedOn w:val="DefaultParagraphFont"/>
  </w:style>
  <w:style w:type="character" w:customStyle="1" w:styleId="cat-ExternalSystemDefinedgrp-20rplc-12">
    <w:name w:val="cat-ExternalSystemDefined grp-20 rplc-12"/>
    <w:basedOn w:val="DefaultParagraphFont"/>
  </w:style>
  <w:style w:type="character" w:customStyle="1" w:styleId="cat-UserDefinedgrp-23rplc-13">
    <w:name w:val="cat-UserDefined grp-23 rplc-13"/>
    <w:basedOn w:val="DefaultParagraphFont"/>
  </w:style>
  <w:style w:type="character" w:customStyle="1" w:styleId="cat-Sumgrp-15rplc-14">
    <w:name w:val="cat-Sum grp-15 rplc-14"/>
    <w:basedOn w:val="DefaultParagraphFont"/>
  </w:style>
  <w:style w:type="character" w:customStyle="1" w:styleId="cat-Dategrp-3rplc-15">
    <w:name w:val="cat-Date grp-3 rplc-15"/>
    <w:basedOn w:val="DefaultParagraphFont"/>
  </w:style>
  <w:style w:type="character" w:customStyle="1" w:styleId="cat-Dategrp-4rplc-16">
    <w:name w:val="cat-Date grp-4 rplc-16"/>
    <w:basedOn w:val="DefaultParagraphFont"/>
  </w:style>
  <w:style w:type="character" w:customStyle="1" w:styleId="cat-Sumgrp-16rplc-17">
    <w:name w:val="cat-Sum grp-16 rplc-17"/>
    <w:basedOn w:val="DefaultParagraphFont"/>
  </w:style>
  <w:style w:type="character" w:customStyle="1" w:styleId="cat-Dategrp-5rplc-18">
    <w:name w:val="cat-Date grp-5 rplc-18"/>
    <w:basedOn w:val="DefaultParagraphFont"/>
  </w:style>
  <w:style w:type="character" w:customStyle="1" w:styleId="cat-Dategrp-6rplc-19">
    <w:name w:val="cat-Date grp-6 rplc-19"/>
    <w:basedOn w:val="DefaultParagraphFont"/>
  </w:style>
  <w:style w:type="character" w:customStyle="1" w:styleId="cat-Dategrp-7rplc-20">
    <w:name w:val="cat-Date grp-7 rplc-20"/>
    <w:basedOn w:val="DefaultParagraphFont"/>
  </w:style>
  <w:style w:type="character" w:customStyle="1" w:styleId="cat-Dategrp-8rplc-21">
    <w:name w:val="cat-Date grp-8 rplc-21"/>
    <w:basedOn w:val="DefaultParagraphFont"/>
  </w:style>
  <w:style w:type="character" w:customStyle="1" w:styleId="cat-Dategrp-9rplc-22">
    <w:name w:val="cat-Date grp-9 rplc-22"/>
    <w:basedOn w:val="DefaultParagraphFont"/>
  </w:style>
  <w:style w:type="character" w:customStyle="1" w:styleId="cat-Dategrp-10rplc-23">
    <w:name w:val="cat-Date grp-10 rplc-23"/>
    <w:basedOn w:val="DefaultParagraphFont"/>
  </w:style>
  <w:style w:type="character" w:customStyle="1" w:styleId="cat-Sumgrp-17rplc-24">
    <w:name w:val="cat-Sum grp-17 rplc-24"/>
    <w:basedOn w:val="DefaultParagraphFont"/>
  </w:style>
  <w:style w:type="character" w:customStyle="1" w:styleId="cat-Addressgrp-1rplc-25">
    <w:name w:val="cat-Address grp-1 rplc-25"/>
    <w:basedOn w:val="DefaultParagraphFont"/>
  </w:style>
  <w:style w:type="character" w:customStyle="1" w:styleId="cat-FIOgrp-14rplc-26">
    <w:name w:val="cat-FIO grp-14 rplc-26"/>
    <w:basedOn w:val="DefaultParagraphFont"/>
  </w:style>
  <w:style w:type="character" w:customStyle="1" w:styleId="cat-FIOgrp-14rplc-27">
    <w:name w:val="cat-FIO grp-14 rplc-27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